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600" w:lineRule="exact"/>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湖南新闻奖参评作品推荐表</w:t>
      </w:r>
    </w:p>
    <w:p>
      <w:pPr>
        <w:spacing w:line="400" w:lineRule="exact"/>
        <w:rPr>
          <w:rFonts w:ascii="方正小标宋简体" w:hAnsi="方正小标宋简体" w:eastAsia="方正小标宋简体" w:cs="方正小标宋简体"/>
          <w:color w:val="000000"/>
          <w:sz w:val="44"/>
          <w:szCs w:val="44"/>
        </w:rPr>
      </w:pPr>
      <w:r>
        <w:rPr>
          <w:rFonts w:hint="eastAsia" w:hAnsi="仿宋"/>
          <w:b/>
          <w:color w:val="000000"/>
        </w:rPr>
        <w:t>（表格内字体为五号仿宋_GB2312）</w:t>
      </w:r>
    </w:p>
    <w:tbl>
      <w:tblPr>
        <w:tblStyle w:val="2"/>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319"/>
        <w:gridCol w:w="1360"/>
        <w:gridCol w:w="278"/>
        <w:gridCol w:w="577"/>
        <w:gridCol w:w="560"/>
        <w:gridCol w:w="796"/>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exact"/>
          <w:jc w:val="center"/>
        </w:trPr>
        <w:tc>
          <w:tcPr>
            <w:tcW w:w="1450" w:type="dxa"/>
            <w:vMerge w:val="restart"/>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534" w:type="dxa"/>
            <w:gridSpan w:val="4"/>
            <w:vMerge w:val="restart"/>
            <w:noWrap w:val="0"/>
            <w:vAlign w:val="center"/>
          </w:tcPr>
          <w:p>
            <w:pPr>
              <w:spacing w:line="260" w:lineRule="exact"/>
              <w:rPr>
                <w:rFonts w:ascii="华文中宋" w:hAnsi="华文中宋" w:eastAsia="华文中宋"/>
                <w:color w:val="000000"/>
                <w:sz w:val="28"/>
              </w:rPr>
            </w:pPr>
            <w:r>
              <w:rPr>
                <w:rFonts w:hint="eastAsia" w:hAnsi="仿宋_GB2312" w:cs="仿宋_GB2312"/>
                <w:color w:val="000000"/>
                <w:sz w:val="21"/>
                <w:szCs w:val="21"/>
              </w:rPr>
              <w:t>“风景明珠”拥抱“东方之珠”  张家界直达香港高铁开行</w:t>
            </w:r>
          </w:p>
        </w:tc>
        <w:tc>
          <w:tcPr>
            <w:tcW w:w="1356" w:type="dxa"/>
            <w:gridSpan w:val="2"/>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3284" w:type="dxa"/>
            <w:noWrap w:val="0"/>
            <w:vAlign w:val="center"/>
          </w:tcPr>
          <w:p>
            <w:pPr>
              <w:spacing w:line="260" w:lineRule="exact"/>
              <w:rPr>
                <w:rFonts w:hint="eastAsia" w:hAnsi="仿宋_GB2312" w:cs="仿宋_GB2312"/>
                <w:color w:val="000000"/>
                <w:sz w:val="21"/>
                <w:szCs w:val="21"/>
                <w:lang w:eastAsia="zh-CN"/>
              </w:rPr>
            </w:pPr>
            <w:r>
              <w:rPr>
                <w:rFonts w:hint="eastAsia" w:hAnsi="仿宋_GB2312" w:cs="仿宋_GB2312"/>
                <w:color w:val="000000"/>
                <w:sz w:val="21"/>
                <w:szCs w:val="21"/>
                <w:lang w:val="en-US" w:eastAsia="zh-CN"/>
              </w:rPr>
              <w:t>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exact"/>
          <w:jc w:val="center"/>
        </w:trPr>
        <w:tc>
          <w:tcPr>
            <w:tcW w:w="1450" w:type="dxa"/>
            <w:vMerge w:val="continue"/>
            <w:noWrap w:val="0"/>
            <w:vAlign w:val="center"/>
          </w:tcPr>
          <w:p>
            <w:pPr>
              <w:spacing w:line="380" w:lineRule="exact"/>
              <w:ind w:firstLine="560"/>
              <w:rPr>
                <w:rFonts w:ascii="华文中宋" w:hAnsi="华文中宋" w:eastAsia="华文中宋"/>
                <w:color w:val="000000"/>
                <w:sz w:val="28"/>
              </w:rPr>
            </w:pPr>
          </w:p>
        </w:tc>
        <w:tc>
          <w:tcPr>
            <w:tcW w:w="3534" w:type="dxa"/>
            <w:gridSpan w:val="4"/>
            <w:vMerge w:val="continue"/>
            <w:noWrap w:val="0"/>
            <w:vAlign w:val="center"/>
          </w:tcPr>
          <w:p>
            <w:pPr>
              <w:spacing w:line="380" w:lineRule="exact"/>
              <w:ind w:firstLine="560"/>
              <w:rPr>
                <w:rFonts w:ascii="华文中宋" w:hAnsi="华文中宋" w:eastAsia="华文中宋"/>
                <w:color w:val="000000"/>
                <w:sz w:val="28"/>
              </w:rPr>
            </w:pPr>
          </w:p>
        </w:tc>
        <w:tc>
          <w:tcPr>
            <w:tcW w:w="1356" w:type="dxa"/>
            <w:gridSpan w:val="2"/>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体裁</w:t>
            </w:r>
          </w:p>
        </w:tc>
        <w:tc>
          <w:tcPr>
            <w:tcW w:w="3284" w:type="dxa"/>
            <w:noWrap w:val="0"/>
            <w:vAlign w:val="center"/>
          </w:tcPr>
          <w:p>
            <w:pPr>
              <w:spacing w:line="260" w:lineRule="exact"/>
              <w:rPr>
                <w:rFonts w:hint="eastAsia" w:hAnsi="仿宋_GB2312" w:cs="仿宋_GB2312"/>
                <w:color w:val="000000"/>
                <w:sz w:val="21"/>
                <w:szCs w:val="21"/>
              </w:rPr>
            </w:pPr>
            <w:r>
              <w:rPr>
                <w:rFonts w:hint="eastAsia" w:hAnsi="仿宋_GB2312" w:cs="仿宋_GB2312"/>
                <w:color w:val="000000"/>
                <w:sz w:val="21"/>
                <w:szCs w:val="21"/>
                <w:lang w:val="en-US" w:eastAsia="zh-CN"/>
              </w:rPr>
              <w:t>电视消息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exact"/>
          <w:jc w:val="center"/>
        </w:trPr>
        <w:tc>
          <w:tcPr>
            <w:tcW w:w="1450" w:type="dxa"/>
            <w:vMerge w:val="continue"/>
            <w:noWrap w:val="0"/>
            <w:vAlign w:val="center"/>
          </w:tcPr>
          <w:p>
            <w:pPr>
              <w:spacing w:line="380" w:lineRule="exact"/>
              <w:ind w:firstLine="560"/>
              <w:rPr>
                <w:rFonts w:ascii="华文中宋" w:hAnsi="华文中宋" w:eastAsia="华文中宋"/>
                <w:color w:val="000000"/>
                <w:sz w:val="28"/>
              </w:rPr>
            </w:pPr>
          </w:p>
        </w:tc>
        <w:tc>
          <w:tcPr>
            <w:tcW w:w="3534" w:type="dxa"/>
            <w:gridSpan w:val="4"/>
            <w:vMerge w:val="continue"/>
            <w:noWrap w:val="0"/>
            <w:vAlign w:val="center"/>
          </w:tcPr>
          <w:p>
            <w:pPr>
              <w:spacing w:line="380" w:lineRule="exact"/>
              <w:ind w:firstLine="560"/>
              <w:rPr>
                <w:rFonts w:ascii="华文中宋" w:hAnsi="华文中宋" w:eastAsia="华文中宋"/>
                <w:color w:val="000000"/>
                <w:sz w:val="28"/>
              </w:rPr>
            </w:pPr>
          </w:p>
        </w:tc>
        <w:tc>
          <w:tcPr>
            <w:tcW w:w="1356" w:type="dxa"/>
            <w:gridSpan w:val="2"/>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语种</w:t>
            </w:r>
          </w:p>
        </w:tc>
        <w:tc>
          <w:tcPr>
            <w:tcW w:w="3284" w:type="dxa"/>
            <w:noWrap w:val="0"/>
            <w:vAlign w:val="center"/>
          </w:tcPr>
          <w:p>
            <w:pPr>
              <w:spacing w:line="260" w:lineRule="exact"/>
              <w:rPr>
                <w:rFonts w:hint="eastAsia" w:hAnsi="仿宋_GB2312" w:cs="仿宋_GB2312"/>
                <w:color w:val="000000"/>
                <w:sz w:val="21"/>
                <w:szCs w:val="21"/>
              </w:rPr>
            </w:pPr>
            <w:r>
              <w:rPr>
                <w:rFonts w:hint="eastAsia" w:hAnsi="仿宋_GB2312" w:cs="仿宋_GB2312"/>
                <w:color w:val="000000"/>
                <w:sz w:val="21"/>
                <w:szCs w:val="21"/>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450" w:type="dxa"/>
            <w:noWrap w:val="0"/>
            <w:vAlign w:val="center"/>
          </w:tcPr>
          <w:p>
            <w:pPr>
              <w:spacing w:line="320" w:lineRule="exact"/>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rPr>
                <w:rFonts w:ascii="华文中宋" w:hAnsi="华文中宋" w:eastAsia="华文中宋"/>
                <w:color w:val="000000"/>
                <w:spacing w:val="-12"/>
              </w:rPr>
            </w:pPr>
            <w:r>
              <w:rPr>
                <w:rFonts w:hint="eastAsia" w:ascii="华文中宋" w:hAnsi="华文中宋" w:eastAsia="华文中宋"/>
                <w:color w:val="000000"/>
                <w:spacing w:val="-12"/>
              </w:rPr>
              <w:t>（主创人员）</w:t>
            </w:r>
          </w:p>
        </w:tc>
        <w:tc>
          <w:tcPr>
            <w:tcW w:w="2679" w:type="dxa"/>
            <w:gridSpan w:val="2"/>
            <w:noWrap w:val="0"/>
            <w:vAlign w:val="center"/>
          </w:tcPr>
          <w:p>
            <w:pPr>
              <w:spacing w:line="260" w:lineRule="exact"/>
              <w:rPr>
                <w:rFonts w:hint="eastAsia" w:hAnsi="仿宋_GB2312" w:cs="仿宋_GB2312"/>
                <w:color w:val="000000"/>
                <w:sz w:val="21"/>
                <w:szCs w:val="21"/>
              </w:rPr>
            </w:pPr>
            <w:r>
              <w:rPr>
                <w:rFonts w:hint="eastAsia" w:hAnsi="仿宋_GB2312" w:cs="仿宋_GB2312"/>
                <w:color w:val="000000"/>
                <w:sz w:val="21"/>
                <w:szCs w:val="21"/>
              </w:rPr>
              <w:t xml:space="preserve">集体（廖雯 庹海霞 </w:t>
            </w:r>
          </w:p>
          <w:p>
            <w:pPr>
              <w:spacing w:line="260" w:lineRule="exact"/>
              <w:rPr>
                <w:rFonts w:hAnsi="华文中宋"/>
                <w:color w:val="000000"/>
                <w:sz w:val="28"/>
              </w:rPr>
            </w:pPr>
            <w:r>
              <w:rPr>
                <w:rFonts w:hint="eastAsia" w:hAnsi="仿宋_GB2312" w:cs="仿宋_GB2312"/>
                <w:color w:val="000000"/>
                <w:sz w:val="21"/>
                <w:szCs w:val="21"/>
              </w:rPr>
              <w:t>梁山泉 于天池）</w:t>
            </w:r>
          </w:p>
        </w:tc>
        <w:tc>
          <w:tcPr>
            <w:tcW w:w="855" w:type="dxa"/>
            <w:gridSpan w:val="2"/>
            <w:noWrap w:val="0"/>
            <w:vAlign w:val="center"/>
          </w:tcPr>
          <w:p>
            <w:pPr>
              <w:rPr>
                <w:rFonts w:ascii="华文中宋" w:hAnsi="华文中宋" w:eastAsia="华文中宋"/>
                <w:color w:val="000000"/>
                <w:sz w:val="28"/>
              </w:rPr>
            </w:pPr>
            <w:r>
              <w:rPr>
                <w:rFonts w:hint="eastAsia" w:ascii="华文中宋" w:hAnsi="华文中宋" w:eastAsia="华文中宋"/>
                <w:color w:val="000000"/>
                <w:sz w:val="28"/>
              </w:rPr>
              <w:t>编辑</w:t>
            </w:r>
          </w:p>
        </w:tc>
        <w:tc>
          <w:tcPr>
            <w:tcW w:w="4640" w:type="dxa"/>
            <w:gridSpan w:val="3"/>
            <w:noWrap w:val="0"/>
            <w:vAlign w:val="center"/>
          </w:tcPr>
          <w:p>
            <w:pPr>
              <w:spacing w:line="260" w:lineRule="exact"/>
              <w:rPr>
                <w:rFonts w:hint="default" w:ascii="仿宋" w:hAnsi="仿宋" w:eastAsia="仿宋"/>
                <w:color w:val="000000"/>
                <w:w w:val="95"/>
                <w:szCs w:val="21"/>
                <w:lang w:val="en-US" w:eastAsia="zh-CN"/>
              </w:rPr>
            </w:pPr>
            <w:r>
              <w:rPr>
                <w:rFonts w:hint="eastAsia" w:hAnsi="仿宋_GB2312" w:cs="仿宋_GB2312"/>
                <w:color w:val="000000"/>
                <w:sz w:val="21"/>
                <w:szCs w:val="21"/>
                <w:lang w:val="en-US" w:eastAsia="zh-CN"/>
              </w:rPr>
              <w:t xml:space="preserve">黄颖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jc w:val="center"/>
        </w:trPr>
        <w:tc>
          <w:tcPr>
            <w:tcW w:w="1450" w:type="dxa"/>
            <w:noWrap w:val="0"/>
            <w:vAlign w:val="center"/>
          </w:tcPr>
          <w:p>
            <w:pP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679" w:type="dxa"/>
            <w:gridSpan w:val="2"/>
            <w:noWrap w:val="0"/>
            <w:vAlign w:val="center"/>
          </w:tcPr>
          <w:p>
            <w:pPr>
              <w:spacing w:line="260" w:lineRule="exact"/>
              <w:rPr>
                <w:rFonts w:hint="eastAsia" w:hAnsi="仿宋_GB2312" w:cs="仿宋_GB2312"/>
                <w:color w:val="000000"/>
                <w:sz w:val="21"/>
                <w:szCs w:val="21"/>
                <w:lang w:val="en-US" w:eastAsia="zh-CN"/>
              </w:rPr>
            </w:pPr>
            <w:r>
              <w:rPr>
                <w:rFonts w:hint="eastAsia" w:hAnsi="仿宋_GB2312" w:cs="仿宋_GB2312"/>
                <w:color w:val="000000"/>
                <w:sz w:val="21"/>
                <w:szCs w:val="21"/>
                <w:lang w:val="en-US" w:eastAsia="zh-CN"/>
              </w:rPr>
              <w:t>张家界市融媒体中心</w:t>
            </w:r>
          </w:p>
          <w:p>
            <w:pPr>
              <w:spacing w:line="260" w:lineRule="exact"/>
              <w:jc w:val="center"/>
              <w:rPr>
                <w:rFonts w:hAnsi="仿宋"/>
                <w:color w:val="000000"/>
                <w:sz w:val="21"/>
                <w:szCs w:val="21"/>
              </w:rPr>
            </w:pPr>
            <w:r>
              <w:rPr>
                <w:rFonts w:hint="eastAsia" w:hAnsi="仿宋_GB2312" w:cs="仿宋_GB2312"/>
                <w:color w:val="000000"/>
                <w:sz w:val="21"/>
                <w:szCs w:val="21"/>
                <w:lang w:val="en-US" w:eastAsia="zh-CN"/>
              </w:rPr>
              <w:t>经济新闻部</w:t>
            </w:r>
          </w:p>
        </w:tc>
        <w:tc>
          <w:tcPr>
            <w:tcW w:w="855" w:type="dxa"/>
            <w:gridSpan w:val="2"/>
            <w:noWrap w:val="0"/>
            <w:vAlign w:val="center"/>
          </w:tcPr>
          <w:p>
            <w:pPr>
              <w:spacing w:line="400" w:lineRule="exact"/>
              <w:rPr>
                <w:rFonts w:ascii="华文中宋" w:hAnsi="华文中宋" w:eastAsia="华文中宋"/>
                <w:color w:val="000000"/>
                <w:sz w:val="28"/>
              </w:rPr>
            </w:pPr>
            <w:r>
              <w:rPr>
                <w:rFonts w:hint="eastAsia" w:ascii="华文中宋" w:hAnsi="华文中宋" w:eastAsia="华文中宋"/>
                <w:color w:val="000000"/>
                <w:sz w:val="28"/>
              </w:rPr>
              <w:t>刊播单位</w:t>
            </w:r>
          </w:p>
        </w:tc>
        <w:tc>
          <w:tcPr>
            <w:tcW w:w="4640" w:type="dxa"/>
            <w:gridSpan w:val="3"/>
            <w:noWrap w:val="0"/>
            <w:vAlign w:val="center"/>
          </w:tcPr>
          <w:p>
            <w:pPr>
              <w:spacing w:line="320" w:lineRule="exact"/>
              <w:jc w:val="center"/>
              <w:rPr>
                <w:rFonts w:hAnsi="仿宋_GB2312" w:cs="仿宋_GB2312"/>
                <w:color w:val="000000"/>
                <w:sz w:val="21"/>
              </w:rPr>
            </w:pPr>
            <w:r>
              <w:rPr>
                <w:rFonts w:hint="eastAsia" w:hAnsi="仿宋_GB2312" w:cs="仿宋_GB2312"/>
                <w:color w:val="000000"/>
                <w:sz w:val="21"/>
                <w:szCs w:val="21"/>
                <w:lang w:val="en-US" w:eastAsia="zh-CN"/>
              </w:rPr>
              <w:t>张家界市融媒体中心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exact"/>
          <w:jc w:val="center"/>
        </w:trPr>
        <w:tc>
          <w:tcPr>
            <w:tcW w:w="1450" w:type="dxa"/>
            <w:noWrap w:val="0"/>
            <w:vAlign w:val="center"/>
          </w:tcPr>
          <w:p>
            <w:pPr>
              <w:spacing w:line="440" w:lineRule="exact"/>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rPr>
              <w:t>名称和版次)</w:t>
            </w:r>
          </w:p>
        </w:tc>
        <w:tc>
          <w:tcPr>
            <w:tcW w:w="2679" w:type="dxa"/>
            <w:gridSpan w:val="2"/>
            <w:noWrap w:val="0"/>
            <w:vAlign w:val="center"/>
          </w:tcPr>
          <w:p>
            <w:pPr>
              <w:spacing w:line="220" w:lineRule="exact"/>
              <w:jc w:val="both"/>
              <w:rPr>
                <w:rFonts w:hAnsi="仿宋"/>
                <w:color w:val="000000"/>
                <w:sz w:val="21"/>
                <w:szCs w:val="21"/>
              </w:rPr>
            </w:pPr>
            <w:r>
              <w:rPr>
                <w:rFonts w:hint="eastAsia" w:hAnsi="仿宋_GB2312" w:cs="仿宋_GB2312"/>
                <w:color w:val="000000"/>
                <w:sz w:val="21"/>
                <w:szCs w:val="21"/>
                <w:lang w:val="en-US" w:eastAsia="zh-CN"/>
              </w:rPr>
              <w:t>《张家界新闻联播》</w:t>
            </w:r>
          </w:p>
        </w:tc>
        <w:tc>
          <w:tcPr>
            <w:tcW w:w="855" w:type="dxa"/>
            <w:gridSpan w:val="2"/>
            <w:noWrap w:val="0"/>
            <w:vAlign w:val="center"/>
          </w:tcPr>
          <w:p>
            <w:pPr>
              <w:spacing w:line="400" w:lineRule="exact"/>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4640" w:type="dxa"/>
            <w:gridSpan w:val="3"/>
            <w:noWrap w:val="0"/>
            <w:vAlign w:val="center"/>
          </w:tcPr>
          <w:p>
            <w:pPr>
              <w:spacing w:line="260" w:lineRule="exact"/>
              <w:rPr>
                <w:rFonts w:hAnsi="仿宋"/>
                <w:color w:val="000000"/>
                <w:szCs w:val="21"/>
              </w:rPr>
            </w:pPr>
            <w:r>
              <w:rPr>
                <w:rFonts w:hint="eastAsia" w:hAnsi="仿宋_GB2312" w:cs="仿宋_GB2312"/>
                <w:color w:val="000000"/>
                <w:sz w:val="21"/>
                <w:szCs w:val="21"/>
                <w:lang w:val="en-US" w:eastAsia="zh-CN"/>
              </w:rPr>
              <w:t>2024年6月16日19时30分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7" w:hRule="exact"/>
          <w:jc w:val="center"/>
        </w:trPr>
        <w:tc>
          <w:tcPr>
            <w:tcW w:w="2769" w:type="dxa"/>
            <w:gridSpan w:val="2"/>
            <w:noWrap w:val="0"/>
            <w:vAlign w:val="center"/>
          </w:tcPr>
          <w:p>
            <w:pPr>
              <w:spacing w:line="340" w:lineRule="exact"/>
              <w:rPr>
                <w:rFonts w:hAnsi="仿宋"/>
                <w:color w:val="000000"/>
                <w:szCs w:val="21"/>
              </w:rPr>
            </w:pPr>
            <w:r>
              <w:rPr>
                <w:rFonts w:hint="eastAsia" w:ascii="华文中宋" w:hAnsi="华文中宋" w:eastAsia="华文中宋"/>
                <w:color w:val="000000"/>
                <w:sz w:val="28"/>
              </w:rPr>
              <w:t>新媒体作品填报网址</w:t>
            </w:r>
          </w:p>
        </w:tc>
        <w:tc>
          <w:tcPr>
            <w:tcW w:w="6855"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Ansi="仿宋_GB2312" w:cs="仿宋_GB2312"/>
                <w:color w:val="000000"/>
                <w:sz w:val="18"/>
                <w:szCs w:val="18"/>
              </w:rPr>
            </w:pPr>
            <w:r>
              <w:rPr>
                <w:rStyle w:val="4"/>
                <w:rFonts w:hint="eastAsia" w:ascii="仿宋_GB2312" w:hAnsi="仿宋_GB2312" w:eastAsia="仿宋_GB2312" w:cs="仿宋_GB2312"/>
                <w:b w:val="0"/>
                <w:bCs/>
                <w:color w:val="auto"/>
                <w:sz w:val="21"/>
                <w:szCs w:val="21"/>
                <w:lang w:val="en-US" w:eastAsia="zh-CN"/>
              </w:rPr>
              <w:t>https://www-zzjmedia.zjjrtv.com/html/rft/vod.html?programId=3f605e5b750f4704a26a9da7782932a1&amp;vodId=cb1b350dacd00001d9b3183019e21e10&amp;type=1&amp;siteId=26478ff03ef4404e8fb637216376079d&amp;channelId=5c05a3af9cfc426f9970b37566dbfc6d&amp;shareAppId=26478ff03ef4404e8fb637216376079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4" w:hRule="atLeast"/>
          <w:jc w:val="center"/>
        </w:trPr>
        <w:tc>
          <w:tcPr>
            <w:tcW w:w="1450" w:type="dxa"/>
            <w:noWrap w:val="0"/>
            <w:vAlign w:val="center"/>
          </w:tcPr>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作采</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品编</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简过</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介程</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7"/>
            <w:noWrap w:val="0"/>
            <w:vAlign w:val="center"/>
          </w:tcPr>
          <w:p>
            <w:pPr>
              <w:spacing w:line="320" w:lineRule="exact"/>
              <w:ind w:firstLine="420" w:firstLineChars="200"/>
              <w:jc w:val="both"/>
              <w:rPr>
                <w:rFonts w:ascii="仿宋" w:hAnsi="仿宋" w:eastAsia="仿宋"/>
                <w:color w:val="000000"/>
                <w:w w:val="95"/>
                <w:szCs w:val="21"/>
              </w:rPr>
            </w:pPr>
            <w:r>
              <w:rPr>
                <w:rFonts w:hint="eastAsia" w:hAnsi="仿宋_GB2312" w:cs="仿宋_GB2312"/>
                <w:color w:val="000000"/>
                <w:sz w:val="21"/>
                <w:szCs w:val="21"/>
                <w:lang w:val="en-US" w:eastAsia="zh-CN"/>
              </w:rPr>
              <w:t>报道通过丰富的现场视频、记者出镜与同期声，生动展现了高铁开通的盛况与旅客的喜悦，特别是香港游客对张家界美景的向往和对祖国建设的赞叹，彰显了两地人文交流与合作的广阔前景，引起观众情感共鸣，获得了很好的传播效果。同时，报道深入分析了高铁对张家界旅游市场及大湘西经济外循环的积极影响，展现了媒体对区域经济发展的敏锐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1" w:hRule="exact"/>
          <w:jc w:val="center"/>
        </w:trPr>
        <w:tc>
          <w:tcPr>
            <w:tcW w:w="1450" w:type="dxa"/>
            <w:noWrap w:val="0"/>
            <w:vAlign w:val="center"/>
          </w:tcPr>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社</w:t>
            </w:r>
          </w:p>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会</w:t>
            </w:r>
          </w:p>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效</w:t>
            </w:r>
          </w:p>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果</w:t>
            </w:r>
          </w:p>
        </w:tc>
        <w:tc>
          <w:tcPr>
            <w:tcW w:w="8174" w:type="dxa"/>
            <w:gridSpan w:val="7"/>
            <w:noWrap w:val="0"/>
            <w:vAlign w:val="center"/>
          </w:tcPr>
          <w:p>
            <w:pPr>
              <w:spacing w:line="320" w:lineRule="exact"/>
              <w:ind w:firstLine="420" w:firstLineChars="200"/>
              <w:jc w:val="both"/>
              <w:rPr>
                <w:rFonts w:hint="eastAsia" w:hAnsi="仿宋_GB2312" w:cs="仿宋_GB2312"/>
                <w:color w:val="000000"/>
                <w:sz w:val="21"/>
                <w:szCs w:val="21"/>
                <w:lang w:val="en-US" w:eastAsia="zh-CN"/>
              </w:rPr>
            </w:pPr>
            <w:r>
              <w:rPr>
                <w:rFonts w:hint="eastAsia" w:hAnsi="仿宋_GB2312" w:cs="仿宋_GB2312"/>
                <w:color w:val="000000"/>
                <w:sz w:val="21"/>
                <w:szCs w:val="21"/>
                <w:lang w:val="en-US" w:eastAsia="zh-CN"/>
              </w:rPr>
              <w:t>此新闻稿以“风景明珠”张家界与“东方之珠”香港的高铁直连为主题，深刻反映了国家区域协调发展战略下的交通互联新突破。在国家“一带一路”和粤港澳大湾区建设的大背景下，张家界直达香港高铁的开通，不仅标志着大湘西地区高铁跨境“零”的突破，更为区域经济高质量发展注入了新动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0" w:hRule="exact"/>
          <w:jc w:val="center"/>
        </w:trPr>
        <w:tc>
          <w:tcPr>
            <w:tcW w:w="1450" w:type="dxa"/>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初推</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评荐</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评理</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语由</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7"/>
            <w:noWrap w:val="0"/>
            <w:vAlign w:val="center"/>
          </w:tcPr>
          <w:p>
            <w:pPr>
              <w:spacing w:line="320" w:lineRule="exact"/>
              <w:ind w:firstLine="420" w:firstLineChars="200"/>
              <w:jc w:val="both"/>
              <w:rPr>
                <w:rFonts w:hint="eastAsia" w:hAnsi="仿宋_GB2312" w:cs="仿宋_GB2312"/>
                <w:color w:val="000000"/>
                <w:sz w:val="21"/>
                <w:szCs w:val="21"/>
                <w:lang w:val="en-US" w:eastAsia="zh-CN"/>
              </w:rPr>
            </w:pPr>
            <w:r>
              <w:rPr>
                <w:rFonts w:hint="eastAsia" w:hAnsi="仿宋_GB2312" w:cs="仿宋_GB2312"/>
                <w:color w:val="000000"/>
                <w:sz w:val="21"/>
                <w:szCs w:val="21"/>
                <w:lang w:val="en-US" w:eastAsia="zh-CN"/>
              </w:rPr>
              <w:t xml:space="preserve">该报道选题新颖，意义重大。报道内容丰富，结构紧凑，语言流畅，成功地将这一重大交通事件与旅游、经济发展等社会热点相结合，提升了报道的深度和广度，具有较高的新闻价值和传播效果。                      </w:t>
            </w:r>
          </w:p>
          <w:p>
            <w:pPr>
              <w:spacing w:line="360" w:lineRule="exact"/>
              <w:ind w:left="3840" w:leftChars="1600"/>
              <w:jc w:val="both"/>
              <w:rPr>
                <w:rFonts w:hint="eastAsia" w:ascii="华文中宋" w:hAnsi="华文中宋" w:eastAsia="华文中宋"/>
                <w:color w:val="000000"/>
                <w:spacing w:val="-2"/>
                <w:sz w:val="28"/>
              </w:rPr>
            </w:pPr>
          </w:p>
          <w:p>
            <w:pPr>
              <w:spacing w:line="360" w:lineRule="exact"/>
              <w:ind w:left="3840" w:leftChars="1600"/>
              <w:jc w:val="both"/>
              <w:rPr>
                <w:rFonts w:hint="eastAsia" w:ascii="华文中宋" w:hAnsi="华文中宋" w:eastAsia="华文中宋"/>
                <w:color w:val="000000"/>
                <w:spacing w:val="-2"/>
                <w:sz w:val="28"/>
              </w:rPr>
            </w:pPr>
          </w:p>
          <w:p>
            <w:pPr>
              <w:spacing w:line="360" w:lineRule="exact"/>
              <w:ind w:left="3840" w:leftChars="1600"/>
              <w:jc w:val="both"/>
              <w:rPr>
                <w:rFonts w:ascii="华文中宋" w:hAnsi="华文中宋" w:eastAsia="华文中宋"/>
                <w:color w:val="000000"/>
                <w:sz w:val="28"/>
              </w:rPr>
            </w:pPr>
            <w:r>
              <w:rPr>
                <w:rFonts w:hint="eastAsia" w:ascii="华文中宋" w:hAnsi="华文中宋" w:eastAsia="华文中宋"/>
                <w:color w:val="000000"/>
                <w:spacing w:val="-2"/>
                <w:sz w:val="28"/>
              </w:rPr>
              <w:t>签名：</w:t>
            </w:r>
            <w:r>
              <w:rPr>
                <w:rFonts w:hint="eastAsia" w:ascii="华文中宋" w:hAnsi="华文中宋" w:eastAsia="华文中宋"/>
                <w:color w:val="000000"/>
                <w:sz w:val="28"/>
              </w:rPr>
              <w:t>（盖单位公章）</w:t>
            </w:r>
          </w:p>
          <w:p>
            <w:pPr>
              <w:spacing w:line="320" w:lineRule="exact"/>
              <w:ind w:firstLine="3920" w:firstLineChars="1400"/>
              <w:jc w:val="both"/>
              <w:rPr>
                <w:rFonts w:hint="default" w:hAnsi="仿宋_GB2312" w:cs="仿宋_GB2312"/>
                <w:color w:val="000000"/>
                <w:sz w:val="21"/>
                <w:szCs w:val="21"/>
                <w:lang w:val="en-US" w:eastAsia="zh-CN"/>
              </w:rPr>
            </w:pPr>
            <w:r>
              <w:rPr>
                <w:rFonts w:ascii="华文中宋" w:hAnsi="华文中宋" w:eastAsia="华文中宋"/>
                <w:color w:val="000000"/>
                <w:sz w:val="28"/>
              </w:rPr>
              <w:t>20</w:t>
            </w:r>
            <w:r>
              <w:rPr>
                <w:rFonts w:hint="eastAsia" w:ascii="华文中宋" w:hAnsi="华文中宋" w:eastAsia="华文中宋"/>
                <w:color w:val="000000"/>
                <w:sz w:val="28"/>
              </w:rPr>
              <w:t>25</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450" w:type="dxa"/>
            <w:tcBorders>
              <w:bottom w:val="single" w:color="auto" w:sz="4" w:space="0"/>
            </w:tcBorders>
            <w:noWrap w:val="0"/>
            <w:vAlign w:val="center"/>
          </w:tcPr>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联系人（作者）</w:t>
            </w:r>
          </w:p>
        </w:tc>
        <w:tc>
          <w:tcPr>
            <w:tcW w:w="2957" w:type="dxa"/>
            <w:gridSpan w:val="3"/>
            <w:tcBorders>
              <w:bottom w:val="single" w:color="auto" w:sz="4" w:space="0"/>
            </w:tcBorders>
            <w:noWrap w:val="0"/>
            <w:vAlign w:val="center"/>
          </w:tcPr>
          <w:p>
            <w:pPr>
              <w:ind w:firstLine="560"/>
              <w:rPr>
                <w:rFonts w:ascii="华文中宋" w:hAnsi="华文中宋" w:eastAsia="华文中宋"/>
                <w:color w:val="000000"/>
                <w:sz w:val="28"/>
              </w:rPr>
            </w:pPr>
            <w:r>
              <w:rPr>
                <w:rFonts w:hint="eastAsia" w:hAnsi="仿宋_GB2312" w:cs="仿宋_GB2312"/>
                <w:color w:val="000000"/>
                <w:sz w:val="21"/>
                <w:szCs w:val="21"/>
                <w:lang w:val="en-US" w:eastAsia="zh-CN"/>
              </w:rPr>
              <w:t>廖雯</w:t>
            </w:r>
          </w:p>
        </w:tc>
        <w:tc>
          <w:tcPr>
            <w:tcW w:w="1137" w:type="dxa"/>
            <w:gridSpan w:val="2"/>
            <w:tcBorders>
              <w:bottom w:val="single" w:color="auto" w:sz="4" w:space="0"/>
            </w:tcBorders>
            <w:noWrap w:val="0"/>
            <w:vAlign w:val="center"/>
          </w:tcPr>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手机</w:t>
            </w:r>
          </w:p>
        </w:tc>
        <w:tc>
          <w:tcPr>
            <w:tcW w:w="4080" w:type="dxa"/>
            <w:gridSpan w:val="2"/>
            <w:tcBorders>
              <w:bottom w:val="single" w:color="auto" w:sz="4" w:space="0"/>
            </w:tcBorders>
            <w:noWrap w:val="0"/>
            <w:vAlign w:val="center"/>
          </w:tcPr>
          <w:p>
            <w:pPr>
              <w:spacing w:line="340" w:lineRule="exact"/>
              <w:ind w:firstLine="560"/>
              <w:rPr>
                <w:rFonts w:ascii="华文中宋" w:hAnsi="华文中宋" w:eastAsia="华文中宋"/>
                <w:color w:val="000000"/>
                <w:sz w:val="28"/>
              </w:rPr>
            </w:pPr>
            <w:r>
              <w:rPr>
                <w:rFonts w:hint="eastAsia" w:hAnsi="仿宋_GB2312" w:cs="仿宋_GB2312"/>
                <w:color w:val="000000"/>
                <w:sz w:val="21"/>
                <w:szCs w:val="21"/>
                <w:lang w:val="en-US" w:eastAsia="zh-CN"/>
              </w:rPr>
              <w:t>15074490356</w:t>
            </w:r>
          </w:p>
        </w:tc>
      </w:tr>
    </w:tbl>
    <w:p/>
    <w:p>
      <w:pPr>
        <w:rPr>
          <w:rFonts w:hint="default"/>
        </w:rPr>
      </w:pPr>
      <w:r>
        <w:rPr>
          <w:rFonts w:hint="default"/>
        </w:rPr>
        <w:drawing>
          <wp:inline distT="0" distB="0" distL="114300" distR="114300">
            <wp:extent cx="2553335" cy="2569845"/>
            <wp:effectExtent l="0" t="0" r="18415" b="1905"/>
            <wp:docPr id="1" name="图片 1" descr="7、“风景明珠”拥抱“东方之珠”  张家界直达香港高铁开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风景明珠”拥抱“东方之珠”  张家界直达香港高铁开行"/>
                    <pic:cNvPicPr>
                      <a:picLocks noChangeAspect="1"/>
                    </pic:cNvPicPr>
                  </pic:nvPicPr>
                  <pic:blipFill>
                    <a:blip r:embed="rId6"/>
                    <a:stretch>
                      <a:fillRect/>
                    </a:stretch>
                  </pic:blipFill>
                  <pic:spPr>
                    <a:xfrm>
                      <a:off x="0" y="0"/>
                      <a:ext cx="2553335" cy="2569845"/>
                    </a:xfrm>
                    <a:prstGeom prst="rect">
                      <a:avLst/>
                    </a:prstGeom>
                  </pic:spPr>
                </pic:pic>
              </a:graphicData>
            </a:graphic>
          </wp:inline>
        </w:drawing>
      </w:r>
    </w:p>
    <w:p>
      <w:pPr>
        <w:rPr>
          <w:rFonts w:hint="default"/>
          <w:sz w:val="32"/>
          <w:szCs w:val="32"/>
        </w:rPr>
      </w:pPr>
      <w:r>
        <w:rPr>
          <w:rFonts w:hint="eastAsia" w:hAnsi="仿宋_GB2312" w:cs="仿宋_GB2312"/>
          <w:color w:val="000000"/>
          <w:sz w:val="32"/>
          <w:szCs w:val="32"/>
        </w:rPr>
        <w:t>“风景明</w:t>
      </w:r>
      <w:bookmarkStart w:id="0" w:name="_GoBack"/>
      <w:bookmarkEnd w:id="0"/>
      <w:r>
        <w:rPr>
          <w:rFonts w:hint="eastAsia" w:hAnsi="仿宋_GB2312" w:cs="仿宋_GB2312"/>
          <w:color w:val="000000"/>
          <w:sz w:val="32"/>
          <w:szCs w:val="32"/>
        </w:rPr>
        <w:t>珠”拥抱“东方之珠”  张家界直达香港高铁开行</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华文中宋">
    <w:altName w:val="方正书宋_GBK"/>
    <w:panose1 w:val="02010600040001010101"/>
    <w:charset w:val="00"/>
    <w:family w:val="auto"/>
    <w:pitch w:val="default"/>
    <w:sig w:usb0="00000000" w:usb1="00000000" w:usb2="00000000" w:usb3="00000000" w:csb0="0004009F" w:csb1="DFD7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9FDC5967"/>
    <w:rsid w:val="9FDC5967"/>
    <w:rsid w:val="ABB33FB6"/>
    <w:rsid w:val="BDFEA3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center"/>
    </w:pPr>
    <w:rPr>
      <w:rFonts w:ascii="仿宋_GB2312" w:hAnsi="Times New Roman" w:eastAsia="仿宋_GB2312" w:cs="Times New Roman"/>
      <w:kern w:val="2"/>
      <w:sz w:val="24"/>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rFonts w:ascii="Calibri" w:hAnsi="Calibri" w:eastAsia="宋体" w:cs="Times New Roman"/>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2025-03-05T00:17:00Z</dcterms:created>
  <dc:creator>greatwall</dc:creator>
  <cp:lastModifiedBy>greatwall</cp:lastModifiedBy>
  <dcterms:modified xsi:type="dcterms:W3CDTF">2025-03-04T17:36:09Z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2052-11.8.2.9339</vt:lpwstr>
  </property>
</Properties>
</file>